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line="280"/>
      </w:pPr>
      <w:r>
        <w:rPr>
          <w:b/>
          <w:bCs/>
          <w:i/>
          <w:iCs/>
        </w:rPr>
        <w:t xml:space="preserve">DISCLAIMER: This DOCX template is a drafting reference only and must be reviewed against the solicitation, governing law, agency instructions, and professional advice before use.</w:t>
      </w:r>
    </w:p>
    <w:p>
      <w:pPr>
        <w:pStyle w:val="Title"/>
        <w:spacing w:after="120" w:before="240"/>
      </w:pPr>
      <w:r>
        <w:rPr>
          <w:b/>
          <w:bCs/>
        </w:rPr>
        <w:t xml:space="preserve">Transportation and Warehousing Bid Template</w:t>
      </w:r>
    </w:p>
    <w:p>
      <w:pPr>
        <w:pStyle w:val="Heading1"/>
        <w:spacing w:after="120" w:before="240"/>
      </w:pPr>
      <w:r>
        <w:rPr>
          <w:b/>
          <w:bCs/>
        </w:rPr>
        <w:t xml:space="preserve">How to use this template</w:t>
      </w:r>
    </w:p>
    <w:p>
      <w:pPr>
        <w:pStyle w:val="ListParagraph"/>
        <w:numPr>
          <w:ilvl w:val="0"/>
          <w:numId w:val="1"/>
        </w:numPr>
        <w:spacing w:after="80" w:line="280"/>
      </w:pPr>
      <w:r>
        <w:t xml:space="preserve">Use this Transportation and Warehousing bid template as a comprehensive response framework. Keep required clauses, delete inapplicable optional language only after review, and replace bracketed fields before submission.</w:t>
      </w:r>
    </w:p>
    <w:p>
      <w:pPr>
        <w:pStyle w:val="ListParagraph"/>
        <w:numPr>
          <w:ilvl w:val="0"/>
          <w:numId w:val="1"/>
        </w:numPr>
        <w:spacing w:after="80" w:line="280"/>
      </w:pPr>
      <w:r>
        <w:t xml:space="preserve">This template is intentionally broad. Users should remove non-applicable sections only after confirming the solicitation, amendments, and governing rules do not require them.</w:t>
      </w:r>
    </w:p>
    <w:p>
      <w:pPr>
        <w:pStyle w:val="ListParagraph"/>
        <w:numPr>
          <w:ilvl w:val="0"/>
          <w:numId w:val="1"/>
        </w:numPr>
        <w:spacing w:after="80" w:line="280"/>
      </w:pPr>
      <w:r>
        <w:t xml:space="preserve">Items in &lt;angle brackets&gt; are jurisdiction-specific, agency-specific, industry-specific, or potentially disputed and require user confirmation.</w:t>
      </w:r>
    </w:p>
    <w:p>
      <w:pPr>
        <w:pStyle w:val="ListParagraph"/>
        <w:numPr>
          <w:ilvl w:val="0"/>
          <w:numId w:val="1"/>
        </w:numPr>
        <w:spacing w:after="80" w:line="280"/>
      </w:pPr>
      <w:r>
        <w:t xml:space="preserve">Download this file: DOCX template: /search/documents/transportation-warehousing-bid-template/download</w:t>
      </w:r>
    </w:p>
    <w:p>
      <w:pPr>
        <w:pStyle w:val="Heading1"/>
        <w:spacing w:after="120" w:before="240"/>
      </w:pPr>
      <w:r>
        <w:rPr>
          <w:b/>
          <w:bCs/>
        </w:rPr>
        <w:t xml:space="preserve">Document status and responsibility notice</w:t>
      </w:r>
    </w:p>
    <w:p>
      <w:pPr>
        <w:pStyle w:val="ListParagraph"/>
        <w:numPr>
          <w:ilvl w:val="0"/>
          <w:numId w:val="1"/>
        </w:numPr>
        <w:spacing w:after="80" w:line="280"/>
      </w:pPr>
      <w:r>
        <w:t xml:space="preserve">This template is a drafting reference only. It is not legal, procurement, tax, accounting, engineering, insurance, labor, security, or professional advice.</w:t>
      </w:r>
    </w:p>
    <w:p>
      <w:pPr>
        <w:pStyle w:val="ListParagraph"/>
        <w:numPr>
          <w:ilvl w:val="0"/>
          <w:numId w:val="1"/>
        </w:numPr>
        <w:spacing w:after="80" w:line="280"/>
      </w:pPr>
      <w:r>
        <w:t xml:space="preserve">The user must compare every section against the live solicitation, amendments, incorporated clauses, agency instructions, funding terms, applicable federal rules, state and local law, industry license rules, and professional counsel before use.</w:t>
      </w:r>
    </w:p>
    <w:p>
      <w:pPr>
        <w:pStyle w:val="ListParagraph"/>
        <w:numPr>
          <w:ilvl w:val="0"/>
          <w:numId w:val="1"/>
        </w:numPr>
        <w:spacing w:after="80" w:line="280"/>
      </w:pPr>
      <w:r>
        <w:t xml:space="preserve">Keep all placeholders until reviewed. Text inside &lt;angle brackets&gt; identifies an issue that can depend on jurisdiction, agency practice, funding source, industry regulation, project facts, or disputed interpretation.</w:t>
      </w:r>
    </w:p>
    <w:p>
      <w:pPr>
        <w:pStyle w:val="ListParagraph"/>
        <w:numPr>
          <w:ilvl w:val="0"/>
          <w:numId w:val="1"/>
        </w:numPr>
        <w:spacing w:after="80" w:line="280"/>
      </w:pPr>
      <w:r>
        <w:t xml:space="preserve">Delete provisions that do not apply only after confirming they are not required by the solicitation, contract vehicle, prime contract, grant terms, state procurement code, or industry regulator.</w:t>
      </w:r>
    </w:p>
    <w:p>
      <w:pPr>
        <w:pStyle w:val="Heading1"/>
        <w:spacing w:after="120" w:before="240"/>
      </w:pPr>
      <w:r>
        <w:rPr>
          <w:b/>
          <w:bCs/>
        </w:rPr>
        <w:t xml:space="preserve">Opportunity intake and amendment control</w:t>
      </w:r>
    </w:p>
    <w:p>
      <w:pPr>
        <w:pStyle w:val="ListParagraph"/>
        <w:numPr>
          <w:ilvl w:val="0"/>
          <w:numId w:val="1"/>
        </w:numPr>
        <w:spacing w:after="80" w:line="280"/>
      </w:pPr>
      <w:r>
        <w:t xml:space="preserve">Record the official source URL, solicitation number, amendment number, issuing office, contract type, set-aside status, NAICS code, PSC/FSC if listed, due date, time zone, and delivery method.</w:t>
      </w:r>
    </w:p>
    <w:p>
      <w:pPr>
        <w:pStyle w:val="ListParagraph"/>
        <w:numPr>
          <w:ilvl w:val="0"/>
          <w:numId w:val="1"/>
        </w:numPr>
        <w:spacing w:after="80" w:line="280"/>
      </w:pPr>
      <w:r>
        <w:t xml:space="preserve">Create a bid calendar with question deadline, site visit, pre-bid conference, sample submission, past performance due date, proposal due date, interview/oral presentation, award target, and protest deadlines.</w:t>
      </w:r>
    </w:p>
    <w:p>
      <w:pPr>
        <w:pStyle w:val="ListParagraph"/>
        <w:numPr>
          <w:ilvl w:val="0"/>
          <w:numId w:val="1"/>
        </w:numPr>
        <w:spacing w:after="80" w:line="280"/>
      </w:pPr>
      <w:r>
        <w:t xml:space="preserve">Track every amendment and addendum. Confirm whether acknowledgement is required by signed form, portal checkbox, revised pricing schedule, or explicit statement in the proposal.</w:t>
      </w:r>
    </w:p>
    <w:p>
      <w:pPr>
        <w:pStyle w:val="ListParagraph"/>
        <w:numPr>
          <w:ilvl w:val="0"/>
          <w:numId w:val="1"/>
        </w:numPr>
        <w:spacing w:after="80" w:line="280"/>
      </w:pPr>
      <w:r>
        <w:t xml:space="preserve">If portal instructions conflict with the PDF solicitation, flag &lt;which instruction controls and whether the agency has issued a clarifying amendment&gt;.</w:t>
      </w:r>
    </w:p>
    <w:p>
      <w:pPr>
        <w:pStyle w:val="Heading1"/>
        <w:spacing w:after="120" w:before="240"/>
      </w:pPr>
      <w:r>
        <w:rPr>
          <w:b/>
          <w:bCs/>
        </w:rPr>
        <w:t xml:space="preserve">Executive summary and offer letter</w:t>
      </w:r>
    </w:p>
    <w:p>
      <w:pPr>
        <w:pStyle w:val="ListParagraph"/>
        <w:numPr>
          <w:ilvl w:val="0"/>
          <w:numId w:val="1"/>
        </w:numPr>
        <w:spacing w:after="80" w:line="280"/>
      </w:pPr>
      <w:r>
        <w:t xml:space="preserve">State the offeror's understanding of the agency mission, procurement objective, performance location, contract period, and expected outcomes.</w:t>
      </w:r>
    </w:p>
    <w:p>
      <w:pPr>
        <w:pStyle w:val="ListParagraph"/>
        <w:numPr>
          <w:ilvl w:val="0"/>
          <w:numId w:val="1"/>
        </w:numPr>
        <w:spacing w:after="80" w:line="280"/>
      </w:pPr>
      <w:r>
        <w:t xml:space="preserve">Summarize the technical approach, management approach, key discriminators, risk controls, schedule confidence, compliance posture, and price basis.</w:t>
      </w:r>
    </w:p>
    <w:p>
      <w:pPr>
        <w:pStyle w:val="ListParagraph"/>
        <w:numPr>
          <w:ilvl w:val="0"/>
          <w:numId w:val="1"/>
        </w:numPr>
        <w:spacing w:after="80" w:line="280"/>
      </w:pPr>
      <w:r>
        <w:t xml:space="preserve">Identify authorized signatory, legal entity name, UEI, CAGE if applicable, SAM registration status, tax classification, small-business status, and point of contact.</w:t>
      </w:r>
    </w:p>
    <w:p>
      <w:pPr>
        <w:pStyle w:val="ListParagraph"/>
        <w:numPr>
          <w:ilvl w:val="0"/>
          <w:numId w:val="1"/>
        </w:numPr>
        <w:spacing w:after="80" w:line="280"/>
      </w:pPr>
      <w:r>
        <w:t xml:space="preserve">Reserve exceptions only in the designated exceptions section. Do not bury exceptions in narrative text.</w:t>
      </w:r>
    </w:p>
    <w:p>
      <w:pPr>
        <w:pStyle w:val="Heading1"/>
        <w:spacing w:after="120" w:before="240"/>
      </w:pPr>
      <w:r>
        <w:rPr>
          <w:b/>
          <w:bCs/>
        </w:rPr>
        <w:t xml:space="preserve">Instructions, conditions, and submission format</w:t>
      </w:r>
    </w:p>
    <w:p>
      <w:pPr>
        <w:pStyle w:val="ListParagraph"/>
        <w:numPr>
          <w:ilvl w:val="0"/>
          <w:numId w:val="1"/>
        </w:numPr>
        <w:spacing w:after="80" w:line="280"/>
      </w:pPr>
      <w:r>
        <w:t xml:space="preserve">Build a response matrix for every Section L/instruction item, every required attachment, every portal field, every page limit, every file naming rule, and every signature requirement.</w:t>
      </w:r>
    </w:p>
    <w:p>
      <w:pPr>
        <w:pStyle w:val="ListParagraph"/>
        <w:numPr>
          <w:ilvl w:val="0"/>
          <w:numId w:val="1"/>
        </w:numPr>
        <w:spacing w:after="80" w:line="280"/>
      </w:pPr>
      <w:r>
        <w:t xml:space="preserve">Confirm font, margin, page count, page numbering, volume separation, redaction, proprietary legend, and electronic signature requirements.</w:t>
      </w:r>
    </w:p>
    <w:p>
      <w:pPr>
        <w:pStyle w:val="ListParagraph"/>
        <w:numPr>
          <w:ilvl w:val="0"/>
          <w:numId w:val="1"/>
        </w:numPr>
        <w:spacing w:after="80" w:line="280"/>
      </w:pPr>
      <w:r>
        <w:t xml:space="preserve">Include a file inventory table with volume name, required contents, page limit, actual pages, signer, status, and final reviewer.</w:t>
      </w:r>
    </w:p>
    <w:p>
      <w:pPr>
        <w:pStyle w:val="ListParagraph"/>
        <w:numPr>
          <w:ilvl w:val="0"/>
          <w:numId w:val="1"/>
        </w:numPr>
        <w:spacing w:after="80" w:line="280"/>
      </w:pPr>
      <w:r>
        <w:t xml:space="preserve">Flag &lt;conflicting page limits, ambiguous evaluation volumes, unclear digital signature authority, or portal file-size limits&gt; for user confirmation.</w:t>
      </w:r>
    </w:p>
    <w:p>
      <w:pPr>
        <w:pStyle w:val="Heading1"/>
        <w:spacing w:after="120" w:before="240"/>
      </w:pPr>
      <w:r>
        <w:rPr>
          <w:b/>
          <w:bCs/>
        </w:rPr>
        <w:t xml:space="preserve">Compliance matrix and evaluation factor crosswalk</w:t>
      </w:r>
    </w:p>
    <w:p>
      <w:pPr>
        <w:pStyle w:val="ListParagraph"/>
        <w:numPr>
          <w:ilvl w:val="0"/>
          <w:numId w:val="1"/>
        </w:numPr>
        <w:spacing w:after="80" w:line="280"/>
      </w:pPr>
      <w:r>
        <w:t xml:space="preserve">Map each mandatory requirement to a proposal section, evidence source, owner, status, and final response location.</w:t>
      </w:r>
    </w:p>
    <w:p>
      <w:pPr>
        <w:pStyle w:val="ListParagraph"/>
        <w:numPr>
          <w:ilvl w:val="0"/>
          <w:numId w:val="1"/>
        </w:numPr>
        <w:spacing w:after="80" w:line="280"/>
      </w:pPr>
      <w:r>
        <w:t xml:space="preserve">Map each evaluation factor and subfactor to win themes, evidence, risks, differentiators, and proof points.</w:t>
      </w:r>
    </w:p>
    <w:p>
      <w:pPr>
        <w:pStyle w:val="ListParagraph"/>
        <w:numPr>
          <w:ilvl w:val="0"/>
          <w:numId w:val="1"/>
        </w:numPr>
        <w:spacing w:after="80" w:line="280"/>
      </w:pPr>
      <w:r>
        <w:t xml:space="preserve">Separate mandatory pass/fail requirements from scored factors, responsibility determinations, price realism/reasonableness, past performance, and technical acceptability.</w:t>
      </w:r>
    </w:p>
    <w:p>
      <w:pPr>
        <w:pStyle w:val="ListParagraph"/>
        <w:numPr>
          <w:ilvl w:val="0"/>
          <w:numId w:val="1"/>
        </w:numPr>
        <w:spacing w:after="80" w:line="280"/>
      </w:pPr>
      <w:r>
        <w:t xml:space="preserve">Include a no-bid trigger for missing license, bonding, insurance, required certification, facility clearance, restricted country rules, or unachievable schedule.</w:t>
      </w:r>
    </w:p>
    <w:p>
      <w:pPr>
        <w:pStyle w:val="Heading1"/>
        <w:spacing w:after="120" w:before="240"/>
      </w:pPr>
      <w:r>
        <w:rPr>
          <w:b/>
          <w:bCs/>
        </w:rPr>
        <w:t xml:space="preserve">Technical approach</w:t>
      </w:r>
    </w:p>
    <w:p>
      <w:pPr>
        <w:pStyle w:val="ListParagraph"/>
        <w:numPr>
          <w:ilvl w:val="0"/>
          <w:numId w:val="1"/>
        </w:numPr>
        <w:spacing w:after="80" w:line="280"/>
      </w:pPr>
      <w:r>
        <w:t xml:space="preserve">Describe the work breakdown structure, work methods, tools, standards, inspection points, deliverables, acceptance evidence, and corrective-action loop.</w:t>
      </w:r>
    </w:p>
    <w:p>
      <w:pPr>
        <w:pStyle w:val="ListParagraph"/>
        <w:numPr>
          <w:ilvl w:val="0"/>
          <w:numId w:val="1"/>
        </w:numPr>
        <w:spacing w:after="80" w:line="280"/>
      </w:pPr>
      <w:r>
        <w:t xml:space="preserve">Address staffing, supervision, site control, quality control, subcontractor coordination, agency communication, reporting cadence, and escalation paths.</w:t>
      </w:r>
    </w:p>
    <w:p>
      <w:pPr>
        <w:pStyle w:val="ListParagraph"/>
        <w:numPr>
          <w:ilvl w:val="0"/>
          <w:numId w:val="1"/>
        </w:numPr>
        <w:spacing w:after="80" w:line="280"/>
      </w:pPr>
      <w:r>
        <w:t xml:space="preserve">Identify assumptions, exclusions, government-furnished property/information, dependencies, long-lead items, permits, access requirements, and third-party approvals.</w:t>
      </w:r>
    </w:p>
    <w:p>
      <w:pPr>
        <w:pStyle w:val="ListParagraph"/>
        <w:numPr>
          <w:ilvl w:val="0"/>
          <w:numId w:val="1"/>
        </w:numPr>
        <w:spacing w:after="80" w:line="280"/>
      </w:pPr>
      <w:r>
        <w:t xml:space="preserve">For each deliverable, state format, due date, owner, acceptance criteria, review cycle, and rework obligation.</w:t>
      </w:r>
    </w:p>
    <w:p>
      <w:pPr>
        <w:pStyle w:val="Heading1"/>
        <w:spacing w:after="120" w:before="240"/>
      </w:pPr>
      <w:r>
        <w:rPr>
          <w:b/>
          <w:bCs/>
        </w:rPr>
        <w:t xml:space="preserve">Management plan and key personnel</w:t>
      </w:r>
    </w:p>
    <w:p>
      <w:pPr>
        <w:pStyle w:val="ListParagraph"/>
        <w:numPr>
          <w:ilvl w:val="0"/>
          <w:numId w:val="1"/>
        </w:numPr>
        <w:spacing w:after="80" w:line="280"/>
      </w:pPr>
      <w:r>
        <w:t xml:space="preserve">Name roles rather than people until resumes are approved: contract manager, project manager, quality manager, safety officer, security lead, finance/invoicing lead, and subcontract manager.</w:t>
      </w:r>
    </w:p>
    <w:p>
      <w:pPr>
        <w:pStyle w:val="ListParagraph"/>
        <w:numPr>
          <w:ilvl w:val="0"/>
          <w:numId w:val="1"/>
        </w:numPr>
        <w:spacing w:after="80" w:line="280"/>
      </w:pPr>
      <w:r>
        <w:t xml:space="preserve">Include authority, replacement procedure, conflict-of-interest screening, training, onboarding, background check, badge/access process, and continuity plan.</w:t>
      </w:r>
    </w:p>
    <w:p>
      <w:pPr>
        <w:pStyle w:val="ListParagraph"/>
        <w:numPr>
          <w:ilvl w:val="0"/>
          <w:numId w:val="1"/>
        </w:numPr>
        <w:spacing w:after="80" w:line="280"/>
      </w:pPr>
      <w:r>
        <w:t xml:space="preserve">If key personnel are named, add &lt;agency approval requirements for substitution, minimum qualifications, resume format, and vacancy cure period&gt;.</w:t>
      </w:r>
    </w:p>
    <w:p>
      <w:pPr>
        <w:pStyle w:val="Heading1"/>
        <w:spacing w:after="120" w:before="240"/>
      </w:pPr>
      <w:r>
        <w:rPr>
          <w:b/>
          <w:bCs/>
        </w:rPr>
        <w:t xml:space="preserve">Past performance and responsibility evidence</w:t>
      </w:r>
    </w:p>
    <w:p>
      <w:pPr>
        <w:pStyle w:val="ListParagraph"/>
        <w:numPr>
          <w:ilvl w:val="0"/>
          <w:numId w:val="1"/>
        </w:numPr>
        <w:spacing w:after="80" w:line="280"/>
      </w:pPr>
      <w:r>
        <w:t xml:space="preserve">Provide project name, customer, contract number if disclosable, period of performance, dollar value band, scope similarity, performance location, CPARS/contact reference, and relevance narrative.</w:t>
      </w:r>
    </w:p>
    <w:p>
      <w:pPr>
        <w:pStyle w:val="ListParagraph"/>
        <w:numPr>
          <w:ilvl w:val="0"/>
          <w:numId w:val="1"/>
        </w:numPr>
        <w:spacing w:after="80" w:line="280"/>
      </w:pPr>
      <w:r>
        <w:t xml:space="preserve">Address quality, schedule, cost control, safety, claims, cure notices, terminations, customer satisfaction, and lessons learned.</w:t>
      </w:r>
    </w:p>
    <w:p>
      <w:pPr>
        <w:pStyle w:val="ListParagraph"/>
        <w:numPr>
          <w:ilvl w:val="0"/>
          <w:numId w:val="1"/>
        </w:numPr>
        <w:spacing w:after="80" w:line="280"/>
      </w:pPr>
      <w:r>
        <w:t xml:space="preserve">Disclose &lt;required adverse information, litigation, debarment/suspension, delinquent taxes, labor violations, or conflicts&gt; only through counsel-approved language and required forms.</w:t>
      </w:r>
    </w:p>
    <w:p>
      <w:pPr>
        <w:pStyle w:val="Heading1"/>
        <w:spacing w:after="120" w:before="240"/>
      </w:pPr>
      <w:r>
        <w:rPr>
          <w:b/>
          <w:bCs/>
        </w:rPr>
        <w:t xml:space="preserve">Pricing, cost basis, and invoice readiness</w:t>
      </w:r>
    </w:p>
    <w:p>
      <w:pPr>
        <w:pStyle w:val="ListParagraph"/>
        <w:numPr>
          <w:ilvl w:val="0"/>
          <w:numId w:val="1"/>
        </w:numPr>
        <w:spacing w:after="80" w:line="280"/>
      </w:pPr>
      <w:r>
        <w:t xml:space="preserve">State whether pricing is firm-fixed-price, time-and-materials, labor-hour, cost-reimbursement, unit-price, IDIQ task order, catalog, or other contract type.</w:t>
      </w:r>
    </w:p>
    <w:p>
      <w:pPr>
        <w:pStyle w:val="ListParagraph"/>
        <w:numPr>
          <w:ilvl w:val="0"/>
          <w:numId w:val="1"/>
        </w:numPr>
        <w:spacing w:after="80" w:line="280"/>
      </w:pPr>
      <w:r>
        <w:t xml:space="preserve">Tie price lines to CLIN/SLIN, deliverable, labor category, material, travel, equipment, indirect rate, escalation, option year, and assumptions.</w:t>
      </w:r>
    </w:p>
    <w:p>
      <w:pPr>
        <w:pStyle w:val="ListParagraph"/>
        <w:numPr>
          <w:ilvl w:val="0"/>
          <w:numId w:val="1"/>
        </w:numPr>
        <w:spacing w:after="80" w:line="280"/>
      </w:pPr>
      <w:r>
        <w:t xml:space="preserve">Confirm whether taxes, freight, bonds, permits, certified payroll, retainage, progress payments, prompt-payment terms, and e-invoicing portal rules are included.</w:t>
      </w:r>
    </w:p>
    <w:p>
      <w:pPr>
        <w:pStyle w:val="ListParagraph"/>
        <w:numPr>
          <w:ilvl w:val="0"/>
          <w:numId w:val="1"/>
        </w:numPr>
        <w:spacing w:after="80" w:line="280"/>
      </w:pPr>
      <w:r>
        <w:t xml:space="preserve">Flag &lt;state sales/use tax treatment, public-entity exemption certificates, retainage limits, pay-if-paid/pay-when-paid enforceability, and prompt-payment statute variations&gt; for review.</w:t>
      </w:r>
    </w:p>
    <w:p>
      <w:pPr>
        <w:pStyle w:val="Heading1"/>
        <w:spacing w:after="120" w:before="240"/>
      </w:pPr>
      <w:r>
        <w:rPr>
          <w:b/>
          <w:bCs/>
        </w:rPr>
        <w:t xml:space="preserve">Legal, procurement, and public-law compliance</w:t>
      </w:r>
    </w:p>
    <w:p>
      <w:pPr>
        <w:pStyle w:val="ListParagraph"/>
        <w:numPr>
          <w:ilvl w:val="0"/>
          <w:numId w:val="1"/>
        </w:numPr>
        <w:spacing w:after="80" w:line="280"/>
      </w:pPr>
      <w:r>
        <w:t xml:space="preserve">Verify SAM registration, representations and certifications, organizational conflicts of interest, anti-kickback, gratuities, lobbying restrictions, contingent fee limits, and false-claims risk.</w:t>
      </w:r>
    </w:p>
    <w:p>
      <w:pPr>
        <w:pStyle w:val="ListParagraph"/>
        <w:numPr>
          <w:ilvl w:val="0"/>
          <w:numId w:val="1"/>
        </w:numPr>
        <w:spacing w:after="80" w:line="280"/>
      </w:pPr>
      <w:r>
        <w:t xml:space="preserve">Address constitutional/public-law procurement guardrails where relevant: fair competition, due process, equal protection/non-discrimination, taxpayer/public-funds limits, open records, and protest procedures.</w:t>
      </w:r>
    </w:p>
    <w:p>
      <w:pPr>
        <w:pStyle w:val="ListParagraph"/>
        <w:numPr>
          <w:ilvl w:val="0"/>
          <w:numId w:val="1"/>
        </w:numPr>
        <w:spacing w:after="80" w:line="280"/>
      </w:pPr>
      <w:r>
        <w:t xml:space="preserve">Include FAR/agency clause flowdown review for commercial items, cybersecurity, labor standards, small-business subcontracting, domestic preference, records, audit, and termination.</w:t>
      </w:r>
    </w:p>
    <w:p>
      <w:pPr>
        <w:pStyle w:val="ListParagraph"/>
        <w:numPr>
          <w:ilvl w:val="0"/>
          <w:numId w:val="1"/>
        </w:numPr>
        <w:spacing w:after="80" w:line="280"/>
      </w:pPr>
      <w:r>
        <w:t xml:space="preserve">Flag &lt;state procurement code, local ordinance, sovereign immunity, public records, sunshine/open meeting, forum, jury waiver, liquidated damages, indemnity, limitation of liability, and attorney-fee clauses&gt;.</w:t>
      </w:r>
    </w:p>
    <w:p>
      <w:pPr>
        <w:pStyle w:val="Heading1"/>
        <w:spacing w:after="120" w:before="240"/>
      </w:pPr>
      <w:r>
        <w:rPr>
          <w:b/>
          <w:bCs/>
        </w:rPr>
        <w:t xml:space="preserve">Security, privacy, confidentiality, and records</w:t>
      </w:r>
    </w:p>
    <w:p>
      <w:pPr>
        <w:pStyle w:val="ListParagraph"/>
        <w:numPr>
          <w:ilvl w:val="0"/>
          <w:numId w:val="1"/>
        </w:numPr>
        <w:spacing w:after="80" w:line="280"/>
      </w:pPr>
      <w:r>
        <w:t xml:space="preserve">Classify data: public, procurement-sensitive, controlled unclassified information, personally identifiable information, protected health information, payment data, export-controlled data, or classified data.</w:t>
      </w:r>
    </w:p>
    <w:p>
      <w:pPr>
        <w:pStyle w:val="ListParagraph"/>
        <w:numPr>
          <w:ilvl w:val="0"/>
          <w:numId w:val="1"/>
        </w:numPr>
        <w:spacing w:after="80" w:line="280"/>
      </w:pPr>
      <w:r>
        <w:t xml:space="preserve">Address access control, MFA, encryption, incident notification, breach cooperation, record retention, audit trail, subcontractor access, and data return/destruction.</w:t>
      </w:r>
    </w:p>
    <w:p>
      <w:pPr>
        <w:pStyle w:val="ListParagraph"/>
        <w:numPr>
          <w:ilvl w:val="0"/>
          <w:numId w:val="1"/>
        </w:numPr>
        <w:spacing w:after="80" w:line="280"/>
      </w:pPr>
      <w:r>
        <w:t xml:space="preserve">Use &lt;agency-specific cybersecurity controls such as NIST SP 800-171, CMMC, FedRAMP, CJIS, HIPAA, FERPA, IRS 1075, PCI DSS, or state privacy law&gt; only when applicable.</w:t>
      </w:r>
    </w:p>
    <w:p>
      <w:pPr>
        <w:pStyle w:val="Heading1"/>
        <w:spacing w:after="120" w:before="240"/>
      </w:pPr>
      <w:r>
        <w:rPr>
          <w:b/>
          <w:bCs/>
        </w:rPr>
        <w:t xml:space="preserve">Labor, safety, insurance, bonding, and permits</w:t>
      </w:r>
    </w:p>
    <w:p>
      <w:pPr>
        <w:pStyle w:val="ListParagraph"/>
        <w:numPr>
          <w:ilvl w:val="0"/>
          <w:numId w:val="1"/>
        </w:numPr>
        <w:spacing w:after="80" w:line="280"/>
      </w:pPr>
      <w:r>
        <w:t xml:space="preserve">Verify wage determinations, Service Contract Act, Davis-Bacon, prevailing wage, certified payroll, E-Verify, equal employment, OSHA, workers compensation, and employee classification rules.</w:t>
      </w:r>
    </w:p>
    <w:p>
      <w:pPr>
        <w:pStyle w:val="ListParagraph"/>
        <w:numPr>
          <w:ilvl w:val="0"/>
          <w:numId w:val="1"/>
        </w:numPr>
        <w:spacing w:after="80" w:line="280"/>
      </w:pPr>
      <w:r>
        <w:t xml:space="preserve">Confirm required insurance: commercial general liability, auto, workers compensation, employer liability, professional liability, cyber, pollution, umbrella/excess, builder's risk, cargo, or product liability.</w:t>
      </w:r>
    </w:p>
    <w:p>
      <w:pPr>
        <w:pStyle w:val="ListParagraph"/>
        <w:numPr>
          <w:ilvl w:val="0"/>
          <w:numId w:val="1"/>
        </w:numPr>
        <w:spacing w:after="80" w:line="280"/>
      </w:pPr>
      <w:r>
        <w:t xml:space="preserve">Confirm bid bond, payment bond, performance bond, maintenance bond, license bond, permit bond, and surety rating requirements.</w:t>
      </w:r>
    </w:p>
    <w:p>
      <w:pPr>
        <w:pStyle w:val="ListParagraph"/>
        <w:numPr>
          <w:ilvl w:val="0"/>
          <w:numId w:val="1"/>
        </w:numPr>
        <w:spacing w:after="80" w:line="280"/>
      </w:pPr>
      <w:r>
        <w:t xml:space="preserve">Flag &lt;state-specific anti-indemnity, insurance notice, lien waiver, prompt payment, contractor licensing, and bond claim rules&gt;.</w:t>
      </w:r>
    </w:p>
    <w:p>
      <w:pPr>
        <w:pStyle w:val="Heading1"/>
        <w:spacing w:after="120" w:before="240"/>
      </w:pPr>
      <w:r>
        <w:rPr>
          <w:b/>
          <w:bCs/>
        </w:rPr>
        <w:t xml:space="preserve">Subcontracting, suppliers, and flowdowns</w:t>
      </w:r>
    </w:p>
    <w:p>
      <w:pPr>
        <w:pStyle w:val="ListParagraph"/>
        <w:numPr>
          <w:ilvl w:val="0"/>
          <w:numId w:val="1"/>
        </w:numPr>
        <w:spacing w:after="80" w:line="280"/>
      </w:pPr>
      <w:r>
        <w:t xml:space="preserve">List proposed subcontractors, scopes, NAICS, small-business status, license status, insurance, safety history, cybersecurity access, and flowdown clauses.</w:t>
      </w:r>
    </w:p>
    <w:p>
      <w:pPr>
        <w:pStyle w:val="ListParagraph"/>
        <w:numPr>
          <w:ilvl w:val="0"/>
          <w:numId w:val="1"/>
        </w:numPr>
        <w:spacing w:after="80" w:line="280"/>
      </w:pPr>
      <w:r>
        <w:t xml:space="preserve">Include make/buy analysis, supplier lead times, domestic preference, Buy American/Buy America/TAA review, counterfeit parts risk, and excluded party screening.</w:t>
      </w:r>
    </w:p>
    <w:p>
      <w:pPr>
        <w:pStyle w:val="ListParagraph"/>
        <w:numPr>
          <w:ilvl w:val="0"/>
          <w:numId w:val="1"/>
        </w:numPr>
        <w:spacing w:after="80" w:line="280"/>
      </w:pPr>
      <w:r>
        <w:t xml:space="preserve">If a small-business subcontracting plan is required, include goals, outreach, reporting, good-faith efforts, and subcontractor payment monitoring.</w:t>
      </w:r>
    </w:p>
    <w:p>
      <w:pPr>
        <w:pStyle w:val="Heading1"/>
        <w:spacing w:after="120" w:before="240"/>
      </w:pPr>
      <w:r>
        <w:rPr>
          <w:b/>
          <w:bCs/>
        </w:rPr>
        <w:t xml:space="preserve">Exceptions, assumptions, and proposed clarifications</w:t>
      </w:r>
    </w:p>
    <w:p>
      <w:pPr>
        <w:pStyle w:val="ListParagraph"/>
        <w:numPr>
          <w:ilvl w:val="0"/>
          <w:numId w:val="1"/>
        </w:numPr>
        <w:spacing w:after="80" w:line="280"/>
      </w:pPr>
      <w:r>
        <w:t xml:space="preserve">Use a clear table for each exception: solicitation reference, issue, proposed language, business impact, risk if not accepted, and whether the proposal remains valid without acceptance.</w:t>
      </w:r>
    </w:p>
    <w:p>
      <w:pPr>
        <w:pStyle w:val="ListParagraph"/>
        <w:numPr>
          <w:ilvl w:val="0"/>
          <w:numId w:val="1"/>
        </w:numPr>
        <w:spacing w:after="80" w:line="280"/>
      </w:pPr>
      <w:r>
        <w:t xml:space="preserve">Do not take exceptions to mandatory terms unless leadership and counsel approve the competitiveness risk.</w:t>
      </w:r>
    </w:p>
    <w:p>
      <w:pPr>
        <w:pStyle w:val="ListParagraph"/>
        <w:numPr>
          <w:ilvl w:val="0"/>
          <w:numId w:val="1"/>
        </w:numPr>
        <w:spacing w:after="80" w:line="280"/>
      </w:pPr>
      <w:r>
        <w:t xml:space="preserve">Flag &lt;ambiguous specifications, impossible deadlines, conflicting drawings, missing wage determinations, unclear evaluation weights, and inconsistent contract type language&gt;.</w:t>
      </w:r>
    </w:p>
    <w:p>
      <w:pPr>
        <w:pStyle w:val="Heading1"/>
        <w:spacing w:after="120" w:before="240"/>
      </w:pPr>
      <w:r>
        <w:rPr>
          <w:b/>
          <w:bCs/>
        </w:rPr>
        <w:t xml:space="preserve">Final submission checklist</w:t>
      </w:r>
    </w:p>
    <w:p>
      <w:pPr>
        <w:pStyle w:val="ListParagraph"/>
        <w:numPr>
          <w:ilvl w:val="0"/>
          <w:numId w:val="1"/>
        </w:numPr>
        <w:spacing w:after="80" w:line="280"/>
      </w:pPr>
      <w:r>
        <w:t xml:space="preserve">Confirm proposal volumes, forms, certifications, price schedule, acknowledgment of amendments, reps and certs, subcontracting plan, bonds, insurance letters, licenses, resumes, past performance, and required attachments.</w:t>
      </w:r>
    </w:p>
    <w:p>
      <w:pPr>
        <w:pStyle w:val="ListParagraph"/>
        <w:numPr>
          <w:ilvl w:val="0"/>
          <w:numId w:val="1"/>
        </w:numPr>
        <w:spacing w:after="80" w:line="280"/>
      </w:pPr>
      <w:r>
        <w:t xml:space="preserve">Confirm electronic upload completion, timestamp evidence, checksum/file open test, email receipt, portal confirmation, and internal archive.</w:t>
      </w:r>
    </w:p>
    <w:p>
      <w:pPr>
        <w:pStyle w:val="ListParagraph"/>
        <w:numPr>
          <w:ilvl w:val="0"/>
          <w:numId w:val="1"/>
        </w:numPr>
        <w:spacing w:after="80" w:line="280"/>
      </w:pPr>
      <w:r>
        <w:t xml:space="preserve">Perform final checks for prohibited assumptions, unsupported claims, missing signatures, stale dates, inconsistent pricing, unredacted proprietary information, and unmet mandatory requirements.</w:t>
      </w:r>
    </w:p>
    <w:p>
      <w:pPr>
        <w:pStyle w:val="Heading1"/>
        <w:spacing w:after="120" w:before="240"/>
      </w:pPr>
      <w:r>
        <w:rPr>
          <w:b/>
          <w:bCs/>
        </w:rPr>
        <w:t xml:space="preserve">Transportation and Warehousing industry-specific requirements</w:t>
      </w:r>
    </w:p>
    <w:p>
      <w:pPr>
        <w:pStyle w:val="ListParagraph"/>
        <w:numPr>
          <w:ilvl w:val="0"/>
          <w:numId w:val="1"/>
        </w:numPr>
        <w:spacing w:after="80" w:line="280"/>
      </w:pPr>
      <w:r>
        <w:t xml:space="preserve">Address DOT/FMCSA, CDL, drug and alcohol testing, vehicle inspection, cargo security, hazmat, route permits, chain of custody, warehouse controls, and delivery proof.</w:t>
      </w:r>
    </w:p>
    <w:p>
      <w:pPr>
        <w:pStyle w:val="ListParagraph"/>
        <w:numPr>
          <w:ilvl w:val="0"/>
          <w:numId w:val="1"/>
        </w:numPr>
        <w:spacing w:after="80" w:line="280"/>
      </w:pPr>
      <w:r>
        <w:t xml:space="preserve">Include service levels for pickup, transit time, loss/damage, temperature control, and emergency rerouting.</w:t>
      </w:r>
    </w:p>
    <w:p>
      <w:pPr>
        <w:pStyle w:val="Heading1"/>
        <w:spacing w:after="120" w:before="240"/>
      </w:pPr>
      <w:r>
        <w:rPr>
          <w:b/>
          <w:bCs/>
        </w:rPr>
        <w:t xml:space="preserve">Required forms and attachments placeholder list</w:t>
      </w:r>
    </w:p>
    <w:p>
      <w:pPr>
        <w:pStyle w:val="ListParagraph"/>
        <w:numPr>
          <w:ilvl w:val="0"/>
          <w:numId w:val="1"/>
        </w:numPr>
        <w:spacing w:after="80" w:line="280"/>
      </w:pPr>
      <w:r>
        <w:t xml:space="preserve">Solicitation cover/signature form, amendment acknowledgments, representations and certifications, pricing schedule, technical volume, management volume, past performance volume, small-business forms, subcontracting plan, conflict-of-interest disclosure, non-collusion or anti-lobbying certifications, bonds, insurance letters, licenses, resumes, safety plan, quality plan, cybersecurity plan, and required agency-specific attachments.</w:t>
      </w:r>
    </w:p>
    <w:p>
      <w:pPr>
        <w:pStyle w:val="ListParagraph"/>
        <w:numPr>
          <w:ilvl w:val="0"/>
          <w:numId w:val="1"/>
        </w:numPr>
        <w:spacing w:after="80" w:line="280"/>
      </w:pPr>
      <w:r>
        <w:t xml:space="preserve">Add &lt;state/local mandatory forms, disadvantaged-business forms, tax clearance, good-standing certificate, business license, domestic preference certification, wage forms, and portal-generated certifications&gt; when required.</w:t>
      </w:r>
    </w:p>
    <w:p>
      <w:pPr>
        <w:pStyle w:val="ListParagraph"/>
        <w:numPr>
          <w:ilvl w:val="0"/>
          <w:numId w:val="1"/>
        </w:numPr>
        <w:spacing w:after="80" w:line="280"/>
      </w:pPr>
      <w:r>
        <w:t xml:space="preserve">Keep a final attachment checklist showing attachment name, required source, responsible owner, due status, signature requirement, and final file name.</w:t>
      </w:r>
    </w:p>
    <w:p>
      <w:pPr>
        <w:pStyle w:val="Heading1"/>
        <w:spacing w:after="120" w:before="240"/>
      </w:pPr>
      <w:r>
        <w:rPr>
          <w:b/>
          <w:bCs/>
        </w:rPr>
        <w:t xml:space="preserve">Public reference sources to verify</w:t>
      </w:r>
    </w:p>
    <w:p>
      <w:pPr>
        <w:pStyle w:val="ListParagraph"/>
        <w:numPr>
          <w:ilvl w:val="0"/>
          <w:numId w:val="1"/>
        </w:numPr>
        <w:spacing w:after="80" w:line="280"/>
      </w:pPr>
      <w:r>
        <w:t xml:space="preserve">Federal Acquisition Regulation and FAR clause matrix references: https://www.acquisition.gov/far</w:t>
      </w:r>
    </w:p>
    <w:p>
      <w:pPr>
        <w:pStyle w:val="ListParagraph"/>
        <w:numPr>
          <w:ilvl w:val="0"/>
          <w:numId w:val="1"/>
        </w:numPr>
        <w:spacing w:after="80" w:line="280"/>
      </w:pPr>
      <w:r>
        <w:t xml:space="preserve">eCFR FAR/DFARS and labor/public contract rules: https://www.ecfr.gov/</w:t>
      </w:r>
    </w:p>
    <w:p>
      <w:pPr>
        <w:pStyle w:val="ListParagraph"/>
        <w:numPr>
          <w:ilvl w:val="0"/>
          <w:numId w:val="1"/>
        </w:numPr>
        <w:spacing w:after="80" w:line="280"/>
      </w:pPr>
      <w:r>
        <w:t xml:space="preserve">SAM.gov opportunities, entity registration, and representations/certifications: https://sam.gov/</w:t>
      </w:r>
    </w:p>
    <w:p>
      <w:pPr>
        <w:pStyle w:val="ListParagraph"/>
        <w:numPr>
          <w:ilvl w:val="0"/>
          <w:numId w:val="1"/>
        </w:numPr>
        <w:spacing w:after="80" w:line="280"/>
      </w:pPr>
      <w:r>
        <w:t xml:space="preserve">U.S. Small Business Administration federal contracting and subcontracting guidance: https://www.sba.gov/federal-contracting</w:t>
      </w:r>
    </w:p>
    <w:p>
      <w:pPr>
        <w:pStyle w:val="ListParagraph"/>
        <w:numPr>
          <w:ilvl w:val="0"/>
          <w:numId w:val="1"/>
        </w:numPr>
        <w:spacing w:after="80" w:line="280"/>
      </w:pPr>
      <w:r>
        <w:t xml:space="preserve">U.S. Department of Labor Davis-Bacon, Service Contract Act, wage, and labor compliance guidance: https://www.dol.gov/</w:t>
      </w:r>
    </w:p>
    <w:p>
      <w:pPr>
        <w:pStyle w:val="ListParagraph"/>
        <w:numPr>
          <w:ilvl w:val="0"/>
          <w:numId w:val="1"/>
        </w:numPr>
        <w:spacing w:after="80" w:line="280"/>
      </w:pPr>
      <w:r>
        <w:t xml:space="preserve">OSHA industry and construction safety standards: https://www.osha.gov/</w:t>
      </w:r>
    </w:p>
    <w:p>
      <w:pPr>
        <w:pStyle w:val="ListParagraph"/>
        <w:numPr>
          <w:ilvl w:val="0"/>
          <w:numId w:val="1"/>
        </w:numPr>
        <w:spacing w:after="80" w:line="280"/>
      </w:pPr>
      <w:r>
        <w:t xml:space="preserve">IRS Form W-9 and taxpayer identification reference: https://www.irs.gov/forms-pubs/about-form-w-9</w:t>
      </w:r>
    </w:p>
    <w:p>
      <w:pPr>
        <w:pStyle w:val="ListParagraph"/>
        <w:numPr>
          <w:ilvl w:val="0"/>
          <w:numId w:val="1"/>
        </w:numPr>
        <w:spacing w:after="80" w:line="280"/>
      </w:pPr>
      <w:r>
        <w:t xml:space="preserve">Uniform Law Commission UCC Article 2 reference for sale-of-goods contract concepts: https://www.uniformlaws.org/</w:t>
      </w:r>
    </w:p>
    <w:p>
      <w:pPr>
        <w:pStyle w:val="Heading1"/>
        <w:spacing w:after="120" w:before="240"/>
      </w:pPr>
      <w:r>
        <w:rPr>
          <w:b/>
          <w:bCs/>
        </w:rPr>
        <w:t xml:space="preserve">Tail download link</w:t>
      </w:r>
    </w:p>
    <w:p>
      <w:pPr>
        <w:pStyle w:val="ListParagraph"/>
        <w:numPr>
          <w:ilvl w:val="0"/>
          <w:numId w:val="1"/>
        </w:numPr>
        <w:spacing w:after="80" w:line="280"/>
      </w:pPr>
      <w:r>
        <w:t xml:space="preserve">Download this file: Transportation and Warehousing Bid Template DOCX: /search/documents/transportation-warehousing-bid-template/download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Normal">
    <w:name w:val="Normal"/>
    <w:pPr>
      <w:spacing w:after="120" w:line="280"/>
    </w:pPr>
    <w:rPr>
      <w:rFonts w:ascii="Calibri" w:cs="Calibri" w:eastAsia="Calibri" w:hAnsi="Calibri"/>
      <w:color w:val="111827"/>
      <w:sz w:val="22"/>
      <w:szCs w:val="22"/>
    </w:rPr>
  </w:style>
  <w:style w:type="paragraph" w:styleId="Title">
    <w:name w:val="Title"/>
    <w:basedOn w:val="Normal"/>
    <w:next w:val="Normal"/>
    <w:pPr>
      <w:spacing w:after="200"/>
    </w:pPr>
    <w:rPr>
      <w:rFonts w:ascii="Calibri" w:cs="Calibri" w:eastAsia="Calibri" w:hAnsi="Calibri"/>
      <w:b/>
      <w:bCs/>
      <w:color w:val="0B2545"/>
      <w:sz w:val="34"/>
      <w:szCs w:val="34"/>
    </w:rPr>
  </w:style>
  <w:style w:type="paragraph" w:styleId="Heading1">
    <w:name w:val="Heading 1"/>
    <w:basedOn w:val="Normal"/>
    <w:next w:val="Normal"/>
    <w:qFormat/>
    <w:pPr>
      <w:spacing w:after="120" w:before="280"/>
    </w:pPr>
    <w:rPr>
      <w:rFonts w:ascii="Calibri" w:cs="Calibri" w:eastAsia="Calibri" w:hAnsi="Calibri"/>
      <w:b/>
      <w:bCs/>
      <w:color w:val="2E74B5"/>
      <w:sz w:val="28"/>
      <w:szCs w:val="28"/>
    </w:rPr>
  </w:style>
  <w:style w:type="paragraph" w:styleId="Heading2">
    <w:name w:val="Heading 2"/>
    <w:basedOn w:val="Normal"/>
    <w:next w:val="Normal"/>
    <w:qFormat/>
    <w:pPr>
      <w:spacing w:after="100" w:before="200"/>
    </w:pPr>
    <w:rPr>
      <w:rFonts w:ascii="Calibri" w:cs="Calibri" w:eastAsia="Calibri" w:hAnsi="Calibri"/>
      <w:b/>
      <w:bCs/>
      <w:color w:val="1F4D78"/>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and Warehousing Bid Template</dc:title>
  <dc:creator>Octobid</dc:creator>
  <dc:description>bid template generated by Octobid</dc:description>
  <cp:lastModifiedBy>Un-named</cp:lastModifiedBy>
  <cp:revision>1</cp:revision>
  <dcterms:created xsi:type="dcterms:W3CDTF">2026-07-01T16:20:45.271Z</dcterms:created>
  <dcterms:modified xsi:type="dcterms:W3CDTF">2026-07-01T16:20:45.271Z</dcterms:modified>
</cp:coreProperties>
</file>

<file path=docProps/custom.xml><?xml version="1.0" encoding="utf-8"?>
<Properties xmlns="http://schemas.openxmlformats.org/officeDocument/2006/custom-properties" xmlns:vt="http://schemas.openxmlformats.org/officeDocument/2006/docPropsVTypes"/>
</file>