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Management of Companies and Enterprises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Management of Companies and Enterprises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/search/documents/management-companies-enterprises-contract-template/download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governance committees, reporting, internal controls, change authority, confidentiality, conflict rules, and transition obligations.</w:t>
      </w:r>
    </w:p>
    <w:p>
      <w:pPr>
        <w:pStyle w:val="ListParagraph"/>
        <w:numPr>
          <w:ilvl w:val="0"/>
          <w:numId w:val="1"/>
        </w:numPr>
        <w:spacing w:after="80" w:line="280"/>
      </w:pPr>
      <w:r>
        <w:t xml:space="preserve">Flag &lt;agency delegation limits, public records, and authority to bind affiliated entities&gt;.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Management of Companies and Enterprises Contract Template DOCX: /search/documents/management-companies-enterprises-contract-template/download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Companies and Enterprises Contract Template</dc:title>
  <dc:creator>Octobid</dc:creator>
  <dc:description>contract template generated by Octobid</dc:description>
  <cp:lastModifiedBy>Un-named</cp:lastModifiedBy>
  <cp:revision>1</cp:revision>
  <dcterms:created xsi:type="dcterms:W3CDTF">2026-07-01T16:20:44.683Z</dcterms:created>
  <dcterms:modified xsi:type="dcterms:W3CDTF">2026-07-01T16:20:44.683Z</dcterms:modified>
</cp:coreProperties>
</file>

<file path=docProps/custom.xml><?xml version="1.0" encoding="utf-8"?>
<Properties xmlns="http://schemas.openxmlformats.org/officeDocument/2006/custom-properties" xmlns:vt="http://schemas.openxmlformats.org/officeDocument/2006/docPropsVTypes"/>
</file>