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280"/>
      </w:pPr>
      <w:r>
        <w:rPr>
          <w:b/>
          <w:bCs/>
          <w:i/>
          <w:iCs/>
        </w:rPr>
        <w:t xml:space="preserve">DISCLAIMER: This DOCX template is a drafting reference only and must be reviewed against the solicitation, governing law, agency instructions, and professional advice before use.</w:t>
      </w:r>
    </w:p>
    <w:p>
      <w:pPr>
        <w:pStyle w:val="Title"/>
        <w:spacing w:after="120" w:before="240"/>
      </w:pPr>
      <w:r>
        <w:rPr>
          <w:b/>
          <w:bCs/>
        </w:rPr>
        <w:t xml:space="preserve">GSA Schedule Price List Template</w:t>
      </w:r>
    </w:p>
    <w:p>
      <w:pPr>
        <w:pStyle w:val="Heading1"/>
        <w:spacing w:after="120" w:before="240"/>
      </w:pPr>
      <w:r>
        <w:rPr>
          <w:b/>
          <w:bCs/>
        </w:rPr>
        <w:t xml:space="preserve">How to use this vehicle template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Use this template for GSA MAS price list work. It is intentionally comprehensive so the user can delete non-applicable terms after checking the live vehicle documents, order documents, amendments, and agency portal instructions.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Keep all required public-contract and vehicle clauses until the source documents prove they are not applicable.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Items in &lt;angle brackets&gt; require user confirmation because state law, agency rules, vehicle documents, or industry regulation can change the answer.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Download this file: DOCX template: /search/documents/gsa-schedule-price-list-template/download</w:t>
      </w:r>
    </w:p>
    <w:p>
      <w:pPr>
        <w:pStyle w:val="Heading1"/>
        <w:spacing w:after="120" w:before="240"/>
      </w:pPr>
      <w:r>
        <w:rPr>
          <w:b/>
          <w:bCs/>
        </w:rPr>
        <w:t xml:space="preserve">Vehicle intake and classification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Identify the procurement vehicle as GSA MAS price list, the master agreement or base contract number, order number, ordering agency, eligible buyer authority, ordering procedure, and official source URL.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Maintain an amendment and evidence log with source URL, date retrieved, attachment hash, signer, and user decision. Do not rely on unofficial summaries when the vehicle document is available.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Use &lt;angle brackets&gt; for uncertain state-law, agency, funding, prime-flowdown, price-list, e-invoicing, public-records, forum, indemnity, audit, and protest issues.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Attach the standard invoice package and confirm whether the agency requires IPP, WAWF, Tungsten, Ariba, Coupa, a state portal, email, or purchase-card submission.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Create a vehicle intake sheet covering SIN/category, CLIN/SLIN, task order, delivery order, BPA call, participating addendum, fair opportunity, addendum status, and price-list basis.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Build a response matrix that maps every RFQ/RFP instruction, order-level SOW requirement, evaluation factor, pricing line, attachment, representation, and signature requirement.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Include a technical response, management plan, staffing plan, schedule, quality plan, risk register, past performance relevance, exceptions table, compliance matrix, and final portal submission checklist.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pricing is capped by a schedule price list, base contract ceiling, BPA call limit, state term contract price, cooperative discount, or order-level negotiated discount.</w:t>
      </w:r>
    </w:p>
    <w:p>
      <w:pPr>
        <w:pStyle w:val="Heading1"/>
        <w:spacing w:after="120" w:before="240"/>
      </w:pPr>
      <w:r>
        <w:rPr>
          <w:b/>
          <w:bCs/>
        </w:rPr>
        <w:t xml:space="preserve">Ordering authority and eligibility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Record eligible buyers, lead state, participating entity, ordering agency, authorized caller, delegation of procurement authority, contracting officer, purchase card authority, and any buyer restrictions.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NASPO/cooperative purchases, confirm participating addendum status, scope of use, state-specific terms, reporting fees, administrative fees, and whether the buyer can piggyback or must run a mini-competition.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GSA/FAS orders, map SIN/category, schedule contract number, eBuy/RFQ instructions, price-list basis, discount basis, and FAR 8.4 ordering requirements.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IDIQ/task/delivery orders, identify the base contract, awardee pool, fair opportunity rule, exception authority, order ceiling, minimum guarantee, and order-level limitations.</w:t>
      </w:r>
    </w:p>
    <w:p>
      <w:pPr>
        <w:pStyle w:val="Heading1"/>
        <w:spacing w:after="120" w:before="240"/>
      </w:pPr>
      <w:r>
        <w:rPr>
          <w:b/>
          <w:bCs/>
        </w:rPr>
        <w:t xml:space="preserve">Proposal and quote contents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Executive summary, order understanding, SOW response, technical approach, staffing and key personnel, management plan, transition plan, quality control, security/privacy controls, schedule, deliverables, risk register, assumptions, exceptions, and acceptance approach.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Pricing volume with CLIN/SLIN, labor category, material, travel, ODC, unit price, milestone price, discount, escalation, option period, ceiling, taxes/freight, retainage, prompt-payment, and invoice backup requirements.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Compliance matrix for vehicle terms, order instructions, evaluation factors, mandatory attachments, certifications, small business requirements, subcontracting, domestic preference, labor standards, safety, cybersecurity, records, and audit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Final submission checklist for portal upload, file naming, signatures, amendment acknowledgements, price-list proof, addendum proof, authorized reseller evidence, licenses, insurance, bonds, and email/portal receipt.</w:t>
      </w:r>
    </w:p>
    <w:p>
      <w:pPr>
        <w:pStyle w:val="Heading1"/>
        <w:spacing w:after="120" w:before="240"/>
      </w:pPr>
      <w:r>
        <w:rPr>
          <w:b/>
          <w:bCs/>
        </w:rPr>
        <w:t xml:space="preserve">Contract and order clauses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Parties and authority; recitals; definitions; order of precedence; SOW; deliverables; acceptance; term and options; pricing and ceiling; invoicing; taxes; retainage; setoff; records; audit; public records; confidentiality; data rights; cybersecurity; warranties; insurance; bonds; indemnity; limitation of liability; changes; disputes; termination; closeout.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Flowdown matrix covering master agreement clauses, base contract clauses, participating addendum clauses, FAR/agency clauses, state/local requirements, grant/funding conditions, labor/safety rules, privacy/security rules, and subcontractor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Flag &lt;conflicts between master agreement, participating addendum, purchase order boilerplate, contractor quote exceptions, state public-contract clauses, and federal flowdowns&gt; for user and counsel review.</w:t>
      </w:r>
    </w:p>
    <w:p>
      <w:pPr>
        <w:pStyle w:val="Heading1"/>
        <w:spacing w:after="120" w:before="240"/>
      </w:pPr>
      <w:r>
        <w:rPr>
          <w:b/>
          <w:bCs/>
        </w:rPr>
        <w:t xml:space="preserve">Attachment K - Standard invoice template</w:t>
      </w:r>
    </w:p>
    <w:p>
      <w:pPr>
        <w:spacing w:after="120" w:line="280"/>
      </w:pPr>
      <w:r>
        <w:t xml:space="preserve">Every awarded contract should require an invoice that is traceable to the contract, purchase order, CLIN/SLIN, accepted deliverable, and payment instructions. Replace or delete fields only if the agency's e-invoicing portal or payment office requires a different layout.</w:t>
      </w:r>
    </w:p>
    <w:tbl>
      <w:tblPr>
        <w:tblW w:type="dxa" w:w="9360"/>
        <w:tblBorders>
          <w:top w:val="single" w:color="D0D7DE" w:sz="1"/>
          <w:left w:val="single" w:color="D0D7DE" w:sz="1"/>
          <w:bottom w:val="single" w:color="D0D7DE" w:sz="1"/>
          <w:right w:val="single" w:color="D0D7DE" w:sz="1"/>
          <w:insideH w:val="single" w:color="D0D7DE" w:sz="1"/>
          <w:insideV w:val="single" w:color="D0D7DE" w:sz="1"/>
        </w:tblBorders>
      </w:tblPr>
      <w:tblGrid>
        <w:gridCol w:w="100"/>
        <w:gridCol w:w="100"/>
        <w:gridCol w:w="100"/>
      </w:tblGrid>
      <w:tr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Required invoice content</w:t>
            </w:r>
          </w:p>
        </w:tc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User notes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Invoice number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[Unique invoice number]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Must not duplicate prior invoices.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Invoice date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[Month day, year]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Use the date submitted to the agency/payment portal.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Contractor legal name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[Legal entity name]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Match SAM/entity registration and contract award.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UEI/CAGE/tax form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[UEI], [CAGE if applicable], [W-9 or agency tax form status]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Include only identifiers required by the payment office.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Contract and order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[Contract number], [task order], [purchase order], [CLIN/SLIN]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Tie every charge to the award document.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Agency/bill-to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[Agency name], [payment office], [invoice portal/email]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Follow agency invoicing instructions.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Remit-to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[Address or ACH instructions]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Confirm whether banking information belongs in portal only.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Period of performance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[Start date] through [end date]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Required for service/progress invoices.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Line description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[Deliverable, service, labor category, material, unit, milestone, or progress item]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Match pricing schedule terminology.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Quantity/rate/amount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[Quantity], [unit], [rate], [line amount]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Include backup for T&amp;M, labor-hour, travel, or reimbursables.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Retainage/withhold/setoff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[Amount or not applicable]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Flag &lt;state prompt-payment, retainage, lien waiver, and public works rules&gt;.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Taxes/freight/fees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[Included, exempt, or separately stated]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Flag &lt;sales/use tax exemption and taxability&gt; for accounting review.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Total due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[Total invoice amount]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Reconcile to accepted deliverables and contract ceiling.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Attachments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[Acceptance evidence, timesheets, receipts, certified payroll, lien waiver, progress report]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Attach only documents required by the contract.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Certification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[Authorized certification text and signature if required]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Confirm portal certification language and false-claims risk.</w:t>
            </w:r>
          </w:p>
        </w:tc>
      </w:tr>
    </w:tbl>
    <w:p>
      <w:pPr>
        <w:pStyle w:val="Heading1"/>
        <w:spacing w:after="120" w:before="240"/>
      </w:pPr>
      <w:r>
        <w:rPr>
          <w:b/>
          <w:bCs/>
        </w:rPr>
        <w:t xml:space="preserve">Industry overlay checklist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agriculture-forestry-fishing-hunting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mining-quarrying-oil-gas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utilities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construction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manufacturing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wholesale-trade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retail-trade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transportation-warehousing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information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finance-insurance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construction, add prevailing wage, bonds, retainage, lien waiver, site safety, change order, submittal, differing site condition, and closeout terms.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IT/information, add accessibility, cybersecurity, data rights, source code/open-source, incident response, SLA, hosting, privacy, and transition terms.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transportation or vehicle procurement, add title/risk of loss, registration, delivery, inspection, warranty, maintenance, emissions, Buy America/TAA, fleet telematics, and recall terms.</w:t>
      </w:r>
    </w:p>
    <w:p>
      <w:pPr>
        <w:pStyle w:val="Heading1"/>
        <w:spacing w:after="120" w:before="240"/>
      </w:pPr>
      <w:r>
        <w:rPr>
          <w:b/>
          <w:bCs/>
        </w:rPr>
        <w:t xml:space="preserve">Public reference sources to verify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Federal Acquisition Regulation and FAR clause matrix references: https://www.acquisition.gov/far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eCFR FAR/DFARS and labor/public contract rules: https://www.ecfr.gov/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SAM.gov opportunities, entity registration, and representations/certifications: https://sam.gov/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U.S. Small Business Administration federal contracting and subcontracting guidance: https://www.sba.gov/federal-contracting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U.S. Department of Labor Davis-Bacon, Service Contract Act, wage, and labor compliance guidance: https://www.dol.gov/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OSHA industry and construction safety standards: https://www.osha.gov/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IRS Form W-9 and taxpayer identification reference: https://www.irs.gov/forms-pubs/about-form-w-9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Uniform Law Commission UCC Article 2 reference for sale-of-goods contract concepts: https://www.uniformlaws.org/</w:t>
      </w:r>
    </w:p>
    <w:p>
      <w:pPr>
        <w:pStyle w:val="Heading1"/>
        <w:spacing w:after="120" w:before="240"/>
      </w:pPr>
      <w:r>
        <w:rPr>
          <w:b/>
          <w:bCs/>
        </w:rPr>
        <w:t xml:space="preserve">Tail download link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Download this file: GSA Schedule Price List Template DOCX: /search/documents/gsa-schedule-price-list-template/download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pPr>
      <w:spacing w:after="120" w:line="280"/>
    </w:pPr>
    <w:rPr>
      <w:rFonts w:ascii="Calibri" w:cs="Calibri" w:eastAsia="Calibri" w:hAnsi="Calibri"/>
      <w:color w:val="111827"/>
      <w:sz w:val="22"/>
      <w:szCs w:val="22"/>
    </w:rPr>
  </w:style>
  <w:style w:type="paragraph" w:styleId="Title">
    <w:name w:val="Title"/>
    <w:basedOn w:val="Normal"/>
    <w:next w:val="Normal"/>
    <w:pPr>
      <w:spacing w:after="200"/>
    </w:pPr>
    <w:rPr>
      <w:rFonts w:ascii="Calibri" w:cs="Calibri" w:eastAsia="Calibri" w:hAnsi="Calibri"/>
      <w:b/>
      <w:bCs/>
      <w:color w:val="0B2545"/>
      <w:sz w:val="34"/>
      <w:szCs w:val="34"/>
    </w:rPr>
  </w:style>
  <w:style w:type="paragraph" w:styleId="Heading1">
    <w:name w:val="Heading 1"/>
    <w:basedOn w:val="Normal"/>
    <w:next w:val="Normal"/>
    <w:qFormat/>
    <w:pPr>
      <w:spacing w:after="120" w:before="280"/>
    </w:pPr>
    <w:rPr>
      <w:rFonts w:ascii="Calibri" w:cs="Calibri" w:eastAsia="Calibri" w:hAnsi="Calibri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rFonts w:ascii="Calibri" w:cs="Calibri" w:eastAsia="Calibri" w:hAnsi="Calibri"/>
      <w:b/>
      <w:bCs/>
      <w:color w:val="1F4D78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GSA Schedule Price List Template</dc:title>
  <dc:creator>Octobid</dc:creator>
  <dc:description>bid template generated by Octobid</dc:description>
  <cp:lastModifiedBy>Un-named</cp:lastModifiedBy>
  <cp:revision>1</cp:revision>
  <dcterms:created xsi:type="dcterms:W3CDTF">2026-07-01T16:20:45.525Z</dcterms:created>
  <dcterms:modified xsi:type="dcterms:W3CDTF">2026-07-01T16:20:45.525Z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