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Finance and Insurance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Finance and Insurance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/search/documents/finance-insurance-contract-template/download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licenses, fiduciary controls, data privacy, cybersecurity, funds-handling safeguards, audit rights, and regulator cooperation.</w:t>
      </w:r>
    </w:p>
    <w:p>
      <w:pPr>
        <w:pStyle w:val="ListParagraph"/>
        <w:numPr>
          <w:ilvl w:val="0"/>
          <w:numId w:val="1"/>
        </w:numPr>
        <w:spacing w:after="80" w:line="280"/>
      </w:pPr>
      <w:r>
        <w:t xml:space="preserve">Flag &lt;state insurance code, securities/financial licensing, indemnity, limitation of liability, and confidentiality exceptions&gt;.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Finance and Insurance Contract Template DOCX: /search/documents/finance-insurance-contract-template/download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and Insurance Contract Template</dc:title>
  <dc:creator>Octobid</dc:creator>
  <dc:description>contract template generated by Octobid</dc:description>
  <cp:lastModifiedBy>Un-named</cp:lastModifiedBy>
  <cp:revision>1</cp:revision>
  <dcterms:created xsi:type="dcterms:W3CDTF">2026-07-01T16:20:44.406Z</dcterms:created>
  <dcterms:modified xsi:type="dcterms:W3CDTF">2026-07-01T16:20:44.406Z</dcterms:modified>
</cp:coreProperties>
</file>

<file path=docProps/custom.xml><?xml version="1.0" encoding="utf-8"?>
<Properties xmlns="http://schemas.openxmlformats.org/officeDocument/2006/custom-properties" xmlns:vt="http://schemas.openxmlformats.org/officeDocument/2006/docPropsVTypes"/>
</file>